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Facultad de Filosofía y Letras – UBA</w:t>
      </w:r>
    </w:p>
    <w:p>
      <w:pPr>
        <w:pStyle w:val="Normal"/>
        <w:bidi w:val="0"/>
        <w:jc w:val="left"/>
        <w:rPr/>
      </w:pPr>
      <w:r>
        <w:rPr/>
        <w:t>Departamento de Ciencias de la Educación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ORDEN DEL DÍA DE JUNTA DEPARTAMENTAL 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26 de abril de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emas a tratar</w:t>
      </w:r>
      <w:r>
        <w:rPr/>
        <w:t>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Conformación de comisión evaluadora para la selección de 1 adjuntx en Problemática de la Formación Docente II y 1 adjuntx en Didáctica II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Conformación de comisión evaluadora para la selección de 1 ayudante en Política educacional B y 1 ayudante para Educación y experiencias sociocomunitarias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Invitación a participar del pre-encuentro de carreras de Educación y Cs. de la Educación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Información sobre la declaración del Prof. Pablo Pineau como persona destacada en el ámbito de la educación por parte de la Legislatura Porteña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Novedades sobre la línea de trabajo con profesorados</w:t>
      </w:r>
    </w:p>
    <w:p>
      <w:pPr>
        <w:pStyle w:val="Cuerpodetexto"/>
        <w:bidi w:val="0"/>
        <w:spacing w:before="0" w:after="14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ACTA</w:t>
      </w:r>
      <w:r>
        <w:rPr>
          <w:b/>
          <w:bCs/>
        </w:rPr>
        <w:t xml:space="preserve"> DE JUNTA DEPARTAMENTAL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Estando presentes Anahí Guelman, Mariana Alonso Bra y Beatriz Greco por profesores; Florencia Faierman, Carolina Entin y Facundo Dysel por graduades e Abril Ciarmello Isabel Gonzalez Puente e Iñaki Bardin por estudiantes se inicia la sesión de Junta a las 17:10hs con los siguientes temas a tratar: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Conformación de comisión evaluadora para la selección de 1 adjuntx en Problemática de la Formación Docente II y 1 adjuntx en Didáctica II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Didáctica II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Titulares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Suplentes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  <w:t>Diana Massa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 xml:space="preserve">Laura Basabe 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Estela Soriano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Alina Larramendy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Marina Sanjuan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Raquel Gurevich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Problemática de la Formación Docente II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Titulares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Suplentes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shd w:fill="auto" w:val="clear"/>
                <w:lang w:val="es-AR"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shd w:fill="auto" w:val="clear"/>
                <w:lang w:val="es-AR" w:eastAsia="zh-CN" w:bidi="hi-IN"/>
              </w:rPr>
              <w:t>Sandra Nicastro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Daniel Suárez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  <w:t>Gabriela Diker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Alejandro Vassiliades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Mercedes Hirsh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Gustavo Bombini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Se deja constancia de que se harán las designaciones correspondientes una vez que estén las vacantes disponibles, es decir, cuando se produzca la jubilación de las profesoras a cargo.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Conformación de comisión evaluadora para la selección de 1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JTP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 para Educación y experiencias sociocomunitarias, 1 ayudante en Política educacional B,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1 ayudante en Residencia y 1 ayudante en Investigación Educacional II</w:t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Residencia – un ayudante de primera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Titulares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Suplentes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highlight w:val="none"/>
                <w:shd w:fill="auto" w:val="clear"/>
                <w:lang w:val="es-AR"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shd w:fill="auto" w:val="clear"/>
                <w:lang w:val="es-AR" w:eastAsia="zh-CN" w:bidi="hi-IN"/>
              </w:rPr>
              <w:t>Cecilia Roman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-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Vannina Trentin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María Aleu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 xml:space="preserve">Sonia Nuñez 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Gabriela Gelber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 xml:space="preserve">Agustin Friedt 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Guadalupe Tenaglia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Iñaki Bardin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Eugenio Ratto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Política educacional – un ayudante de primera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Titulares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Suplentes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highlight w:val="none"/>
                <w:shd w:fill="auto" w:val="clear"/>
                <w:lang w:val="es-AR"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shd w:fill="auto" w:val="clear"/>
                <w:lang w:val="es-AR" w:eastAsia="zh-CN" w:bidi="hi-IN"/>
              </w:rPr>
              <w:t>Myriam Feldfeber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-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Mariana Alonso Brá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Alejandro Vassiliades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Ariel Zysman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Victoria Orce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Florencia Faierman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Ariadna Abritta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Valentina Yrigoyen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Iara Feinstein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Educación y experiencias sociocomunitarias – un JTP cerrado a la cátedra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Titulares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Suplentes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highlight w:val="none"/>
                <w:shd w:fill="auto" w:val="clear"/>
                <w:lang w:val="es-AR"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shd w:fill="auto" w:val="clear"/>
                <w:lang w:val="es-AR" w:eastAsia="zh-CN" w:bidi="hi-IN"/>
              </w:rPr>
              <w:t>Sandra Llosa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  <w:t>-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es-AR" w:eastAsia="zh-CN" w:bidi="hi-IN"/>
              </w:rPr>
              <w:t>Esther Levy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María Ana González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María Eugenia Míguez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Denisse Garrido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 xml:space="preserve">Ismael Rodrigo 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Laura Tarrio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Isabel González Puente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Iñaki Bardin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Investigación Educacional II – un ayudante de primera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Titulares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Suplentes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highlight w:val="none"/>
                <w:shd w:fill="auto" w:val="clear"/>
                <w:lang w:val="es-AR" w:eastAsia="zh-CN" w:bidi="hi-IN"/>
              </w:rPr>
            </w:pP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shd w:fill="auto" w:val="clear"/>
                <w:lang w:val="es-AR" w:eastAsia="zh-CN" w:bidi="hi-IN"/>
              </w:rPr>
              <w:t>Graciela Morgade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Jésica Baez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Alejandro Vassiliades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Anahí Guelman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Belen Mercado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Luz Ayuso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Facundo Dysel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Dana Sokolowicz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Tomas Frías</w:t>
            </w:r>
          </w:p>
        </w:tc>
        <w:tc>
          <w:tcPr>
            <w:tcW w:w="4818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/>
              <w:t>Iñaki Bardin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Se deja constancia de que se harán las designaciones correspondientes una vez que estén las vacantes disponibles, es decir, cuando se produzcan las jubilaciones o designaciones correspondientes.</w:t>
      </w:r>
    </w:p>
    <w:p>
      <w:pPr>
        <w:pStyle w:val="Normal"/>
        <w:bidi w:val="0"/>
        <w:jc w:val="both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Solicitudes de llamados de adscripciones de Sociología de la Educación B, Investigación Sociohistórica cultural en educación e Investigación Educacional II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Se aprueban todos los llamados pidiendo algunas consideraciones. Para el caso de Investigación Educacional II se pide mayor explicitación de las tareas y dedicación solicitadas. Y en el caso de Investigación sociohistórica cultural en educación no exigir la experiencia en el área como obligatoria.</w:t>
      </w:r>
    </w:p>
    <w:p>
      <w:pPr>
        <w:pStyle w:val="Normal"/>
        <w:bidi w:val="0"/>
        <w:jc w:val="both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Información sobre la declaración del Prof. Pablo Pineau como persona destacada en el ámbito de la educación por parte de la Legislatura Porteña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Invitación a participar del pre-encuentro de carreras de Educación y Cs. de la Educación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Novedades sobre la línea de trabajo con profesorados</w:t>
      </w:r>
    </w:p>
    <w:p>
      <w:pPr>
        <w:pStyle w:val="Normal"/>
        <w:bidi w:val="0"/>
        <w:jc w:val="both"/>
        <w:rPr/>
      </w:pPr>
      <w:r>
        <w:rPr/>
        <w:t>La Directora de la carrera, Paula Fainsod comenta que se van a realizar dos propuestas en el marco de esta línea. La primera a cargo de Gustavo Bombini para discutir y dar herramientas a profesores/as de profesorado en relación a la lectura y escritura académica. La segunda estará a cargo de algunas profesoras de nuestra carrera para discutir la perspectiva de la educación emocional para los/as estudiantes de la carrera de Cs. de la Educación y de los profesorados ENS4, 7 y 8.</w:t>
      </w:r>
    </w:p>
    <w:p>
      <w:pPr>
        <w:pStyle w:val="Normal"/>
        <w:bidi w:val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AR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Destaquemayor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306</TotalTime>
  <Application>LibreOffice/7.2.2.2$Linux_X86_64 LibreOffice_project/02b2acce88a210515b4a5bb2e46cbfb63fe97d56</Application>
  <AppVersion>15.0000</AppVersion>
  <Pages>2</Pages>
  <Words>634</Words>
  <Characters>3558</Characters>
  <CharactersWithSpaces>4101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2022-08-19T18:31:11Z</dcterms:created>
  <dc:creator/>
  <dc:description/>
  <dc:language>es-AR</dc:language>
  <cp:lastModifiedBy/>
  <cp:lastPrinted>2023-05-03T14:07:03Z</cp:lastPrinted>
  <dcterms:modified xsi:type="dcterms:W3CDTF">2023-05-03T18:29:59Z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