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Facultad de Filosofía y Letras – UBA</w:t>
      </w:r>
    </w:p>
    <w:p>
      <w:pPr>
        <w:pStyle w:val="Normal"/>
        <w:bidi w:val="0"/>
        <w:jc w:val="left"/>
        <w:rPr/>
      </w:pPr>
      <w:r>
        <w:rPr/>
        <w:t>Departamento de Ciencias de la Educación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ORDEN DEL DÍA DE JUNTA DEPARTAMENTAL 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5 de julio de 2023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emas a tratar</w:t>
      </w:r>
      <w:r>
        <w:rPr/>
        <w:t>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Conformación de comisión evaluadora para 1 adjunto de Problemáticas pedagógicas y didácticas de Nivel Superior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Información sobre el evento de conmemoración de los 40 años de la vuelta a la democracia desde la Facultad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Elección de nombre de la Revista del Departamento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Llamado a adscripción Problemas Pedagógicos Contemporáneos (cátedra Suárez)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ACTA DE JUNTA DEPARTAMENTAL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r>
    </w:p>
    <w:p>
      <w:pPr>
        <w:pStyle w:val="Normal"/>
        <w:bidi w:val="0"/>
        <w:jc w:val="both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Siendo las 17:14hs y estando presentes Ariel Zysman, Paula Dávilas y Ariel Zysman por graduados; Alberto Iardelesky y Beatriz Greco por profesores; Tatiana Gorbacz y Abril Ciarmello por estudiantes se da por iniciada la sesión de Junta:</w:t>
      </w:r>
    </w:p>
    <w:p>
      <w:pPr>
        <w:pStyle w:val="Normal"/>
        <w:bidi w:val="0"/>
        <w:jc w:val="both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Llamado a adscripción Problemas Pedagógicos Contemporáneos (cátedra Suárez)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Se discute que se aclare la diferenciación entre requisitos excluyentes y esperables.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Conformación de comisión evaluadora para 1 adjunto de Problemáticas pedagógicas y didácticas de Nivel Superior 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8904" w:type="dxa"/>
        <w:jc w:val="left"/>
        <w:tblInd w:w="7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650"/>
        <w:gridCol w:w="4254"/>
      </w:tblGrid>
      <w:tr>
        <w:trPr/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Titulares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Suplentes</w:t>
            </w:r>
          </w:p>
        </w:tc>
      </w:tr>
      <w:tr>
        <w:trPr/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both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es-A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es-AR" w:eastAsia="zh-CN" w:bidi="hi-IN"/>
              </w:rPr>
              <w:t>Claudia Filkenstein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Andrea Alliaud</w:t>
            </w:r>
          </w:p>
        </w:tc>
      </w:tr>
      <w:tr>
        <w:trPr/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Paula Dávila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both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es-A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es-AR" w:eastAsia="zh-CN" w:bidi="hi-IN"/>
              </w:rPr>
              <w:t>María Aleu</w:t>
            </w:r>
          </w:p>
        </w:tc>
      </w:tr>
      <w:tr>
        <w:trPr/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Andrea Molinari</w:t>
            </w:r>
          </w:p>
        </w:tc>
        <w:tc>
          <w:tcPr>
            <w:tcW w:w="4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Mercedes Hirsh</w:t>
            </w:r>
          </w:p>
        </w:tc>
      </w:tr>
    </w:tbl>
    <w:p>
      <w:pPr>
        <w:pStyle w:val="Normal"/>
        <w:bidi w:val="0"/>
        <w:jc w:val="both"/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Información sobre el evento de conmemoración de los 40 años de la vuelta a la democracia desde la Facultad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La directora de la carrera comenta que el espíritu del evento es vincular los 40 años de la vuelta de la democracia con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el recorrido de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la Facultad. Se trata de la semana del 30 de octubre en el horario de 17 a 21hs. Estarán afectadas particularmente las cátedras que dicten en esa franja horaria, aunque se invita a toda la comunidad educativa a participar de los eventos planificados. Uno de las actividades pensadas será el homenaje de los/as compañeros/as que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fueron parte de la reapertura de la Facultad. Esta actividad deberá ser pensada desde el Departamento de Cs. de la Educación para los/as docentes de nuestra carrera.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Elección de nombre de la Revista del Departamento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Se eligieron cinco opciones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para hacer una consulta a la comunidad educativa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: Patios, viento de estrellas, ida y vuelta, tarea fina y tema libre.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S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iendo las 18:42 se cierra la sesión de Junta.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AR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character" w:styleId="Destaquemayor">
    <w:name w:val="Destaque mayor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370</TotalTime>
  <Application>LibreOffice/7.2.2.2$Linux_X86_64 LibreOffice_project/02b2acce88a210515b4a5bb2e46cbfb63fe97d56</Application>
  <AppVersion>15.0000</AppVersion>
  <Pages>1</Pages>
  <Words>342</Words>
  <Characters>1803</Characters>
  <CharactersWithSpaces>2114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2022-08-19T18:31:11Z</dcterms:created>
  <dc:creator/>
  <dc:description/>
  <dc:language>es-AR</dc:language>
  <cp:lastModifiedBy/>
  <cp:lastPrinted>2023-07-05T18:43:54Z</cp:lastPrinted>
  <dcterms:modified xsi:type="dcterms:W3CDTF">2023-07-05T18:53:27Z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